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B2E" w:rsidRPr="00A33B2E" w:rsidRDefault="00A33B2E" w:rsidP="00A33B2E">
      <w:pPr>
        <w:pStyle w:val="a3"/>
        <w:ind w:right="150"/>
        <w:jc w:val="both"/>
        <w:rPr>
          <w:rFonts w:ascii="Georgia" w:hAnsi="Georgia"/>
          <w:b/>
          <w:bCs/>
          <w:color w:val="FF0000"/>
          <w:sz w:val="21"/>
          <w:szCs w:val="21"/>
        </w:rPr>
      </w:pPr>
      <w:r w:rsidRPr="00A33B2E">
        <w:rPr>
          <w:rFonts w:ascii="Georgia" w:hAnsi="Georgia"/>
          <w:b/>
          <w:bCs/>
          <w:color w:val="FF0000"/>
          <w:sz w:val="21"/>
          <w:szCs w:val="21"/>
        </w:rPr>
        <w:t xml:space="preserve">Лекция </w:t>
      </w:r>
      <w:r w:rsidRPr="00A33B2E">
        <w:rPr>
          <w:rFonts w:ascii="Georgia" w:hAnsi="Georgia"/>
          <w:b/>
          <w:bCs/>
          <w:color w:val="FF0000"/>
          <w:sz w:val="21"/>
          <w:szCs w:val="21"/>
        </w:rPr>
        <w:t>12</w:t>
      </w:r>
      <w:r w:rsidRPr="00A33B2E">
        <w:rPr>
          <w:rFonts w:ascii="Georgia" w:hAnsi="Georgia"/>
          <w:b/>
          <w:bCs/>
          <w:color w:val="FF0000"/>
          <w:sz w:val="21"/>
          <w:szCs w:val="21"/>
        </w:rPr>
        <w:t>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 СИСТЕМЫ ГАЗОСНАБЖЕНИЯ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b/>
          <w:bCs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i/>
          <w:iCs/>
          <w:color w:val="000666"/>
          <w:sz w:val="21"/>
          <w:szCs w:val="21"/>
        </w:rPr>
        <w:t>Цель лекции: </w:t>
      </w:r>
      <w:r>
        <w:rPr>
          <w:rFonts w:ascii="Georgia" w:hAnsi="Georgia"/>
          <w:color w:val="000666"/>
          <w:sz w:val="21"/>
          <w:szCs w:val="21"/>
        </w:rPr>
        <w:t xml:space="preserve">знакомство с устройством внутренних </w:t>
      </w:r>
      <w:proofErr w:type="gramStart"/>
      <w:r>
        <w:rPr>
          <w:rFonts w:ascii="Georgia" w:hAnsi="Georgia"/>
          <w:color w:val="000666"/>
          <w:sz w:val="21"/>
          <w:szCs w:val="21"/>
        </w:rPr>
        <w:t>газопроводов,  вводами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газопроводов в жилые здания, которые  устраивают в лестничных клетках, кухнях или коридорах.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i/>
          <w:iCs/>
          <w:color w:val="000666"/>
          <w:sz w:val="21"/>
          <w:szCs w:val="21"/>
        </w:rPr>
        <w:t>Системы газоснабжения</w:t>
      </w:r>
      <w:r>
        <w:rPr>
          <w:rFonts w:ascii="Georgia" w:hAnsi="Georgia"/>
          <w:color w:val="000666"/>
          <w:sz w:val="21"/>
          <w:szCs w:val="21"/>
        </w:rPr>
        <w:t> представляют собой сложный комплекс взаимосвязанных      технических    устройств     по     добыче естественного (природного) или производству искусственного горючего газа, хранению, транспортировке и распределению газа для использования его в качестве химического сырья или топлива промышленными и коммунально-бытовыми потребителями.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Газообразное топливо, по сравнению с другими топливами, имеет целый ряд преимуществ: это, как правило, практически сухое и </w:t>
      </w:r>
      <w:proofErr w:type="spellStart"/>
      <w:r>
        <w:rPr>
          <w:rFonts w:ascii="Georgia" w:hAnsi="Georgia"/>
          <w:color w:val="000666"/>
          <w:sz w:val="21"/>
          <w:szCs w:val="21"/>
        </w:rPr>
        <w:t>бесзольное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топливо с высокой теплотворной способностью (исключение составляют некоторые искусственные газы), легко транспортирующееся по трубопроводам, легко воспламеняющееся и эффективно сгорающее при небольших избытках воздуха, процесс сжигания которого легко механизируется и автоматизируется и, </w:t>
      </w:r>
      <w:proofErr w:type="gramStart"/>
      <w:r>
        <w:rPr>
          <w:rFonts w:ascii="Georgia" w:hAnsi="Georgia"/>
          <w:color w:val="000666"/>
          <w:sz w:val="21"/>
          <w:szCs w:val="21"/>
        </w:rPr>
        <w:t>наконец,-</w:t>
      </w:r>
      <w:proofErr w:type="gramEnd"/>
      <w:r>
        <w:rPr>
          <w:rFonts w:ascii="Georgia" w:hAnsi="Georgia"/>
          <w:color w:val="000666"/>
          <w:sz w:val="21"/>
          <w:szCs w:val="21"/>
        </w:rPr>
        <w:t>  наиболее «экологически чистое топливо».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По способу получения газообразные топлива подразделяются на естественные (природные) и искусственные.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 w:rsidRPr="00A33B2E">
        <w:rPr>
          <w:rFonts w:ascii="Georgia" w:hAnsi="Georgia"/>
          <w:color w:val="000666"/>
          <w:sz w:val="21"/>
          <w:szCs w:val="21"/>
          <w:highlight w:val="yellow"/>
        </w:rPr>
        <w:t>Естественные (природные</w:t>
      </w:r>
      <w:r>
        <w:rPr>
          <w:rFonts w:ascii="Georgia" w:hAnsi="Georgia"/>
          <w:color w:val="000666"/>
          <w:sz w:val="21"/>
          <w:szCs w:val="21"/>
        </w:rPr>
        <w:t>) газообразные топлива представляют собой смесь предельных углеводородов метанового ряда (C</w:t>
      </w:r>
      <w:r>
        <w:rPr>
          <w:rFonts w:ascii="Georgia" w:hAnsi="Georgia"/>
          <w:color w:val="000666"/>
          <w:sz w:val="21"/>
          <w:szCs w:val="21"/>
          <w:vertAlign w:val="subscript"/>
        </w:rPr>
        <w:t>n</w:t>
      </w:r>
      <w:r>
        <w:rPr>
          <w:rFonts w:ascii="Georgia" w:hAnsi="Georgia"/>
          <w:color w:val="000666"/>
          <w:sz w:val="21"/>
          <w:szCs w:val="21"/>
        </w:rPr>
        <w:t>H</w:t>
      </w:r>
      <w:r>
        <w:rPr>
          <w:rFonts w:ascii="Georgia" w:hAnsi="Georgia"/>
          <w:color w:val="000666"/>
          <w:sz w:val="21"/>
          <w:szCs w:val="21"/>
          <w:vertAlign w:val="subscript"/>
        </w:rPr>
        <w:t>2n</w:t>
      </w:r>
      <w:r>
        <w:rPr>
          <w:rFonts w:ascii="Georgia" w:hAnsi="Georgia"/>
          <w:color w:val="000666"/>
          <w:sz w:val="21"/>
          <w:szCs w:val="21"/>
        </w:rPr>
        <w:t>+2) с преобладающим содержанием метана CH</w:t>
      </w:r>
      <w:proofErr w:type="gramStart"/>
      <w:r>
        <w:rPr>
          <w:rFonts w:ascii="Georgia" w:hAnsi="Georgia"/>
          <w:color w:val="000666"/>
          <w:sz w:val="21"/>
          <w:szCs w:val="21"/>
          <w:vertAlign w:val="subscript"/>
        </w:rPr>
        <w:t>4 </w:t>
      </w:r>
      <w:r>
        <w:rPr>
          <w:rFonts w:ascii="Georgia" w:hAnsi="Georgia"/>
          <w:color w:val="000666"/>
          <w:sz w:val="21"/>
          <w:szCs w:val="21"/>
        </w:rPr>
        <w:t> (</w:t>
      </w:r>
      <w:proofErr w:type="gramEnd"/>
      <w:r>
        <w:rPr>
          <w:rFonts w:ascii="Georgia" w:hAnsi="Georgia"/>
          <w:color w:val="000666"/>
          <w:sz w:val="21"/>
          <w:szCs w:val="21"/>
        </w:rPr>
        <w:t>в некоторых природных газах содержание CH</w:t>
      </w:r>
      <w:r>
        <w:rPr>
          <w:rFonts w:ascii="Georgia" w:hAnsi="Georgia"/>
          <w:color w:val="000666"/>
          <w:sz w:val="21"/>
          <w:szCs w:val="21"/>
          <w:vertAlign w:val="subscript"/>
        </w:rPr>
        <w:t>4 </w:t>
      </w:r>
      <w:r>
        <w:rPr>
          <w:rFonts w:ascii="Georgia" w:hAnsi="Georgia"/>
          <w:color w:val="000666"/>
          <w:sz w:val="21"/>
          <w:szCs w:val="21"/>
        </w:rPr>
        <w:t>доходит до 95÷99 %  по объему) и относительно небольшим содержанием более тяжёлых гомологов метана-этана (С</w:t>
      </w:r>
      <w:r>
        <w:rPr>
          <w:rFonts w:ascii="Georgia" w:hAnsi="Georgia"/>
          <w:color w:val="000666"/>
          <w:sz w:val="21"/>
          <w:szCs w:val="21"/>
          <w:vertAlign w:val="subscript"/>
        </w:rPr>
        <w:t>2</w:t>
      </w:r>
      <w:r>
        <w:rPr>
          <w:rFonts w:ascii="Georgia" w:hAnsi="Georgia"/>
          <w:color w:val="000666"/>
          <w:sz w:val="21"/>
          <w:szCs w:val="21"/>
        </w:rPr>
        <w:t>H</w:t>
      </w:r>
      <w:r>
        <w:rPr>
          <w:rFonts w:ascii="Georgia" w:hAnsi="Georgia"/>
          <w:color w:val="000666"/>
          <w:sz w:val="21"/>
          <w:szCs w:val="21"/>
          <w:vertAlign w:val="subscript"/>
        </w:rPr>
        <w:t>6</w:t>
      </w:r>
      <w:r>
        <w:rPr>
          <w:rFonts w:ascii="Georgia" w:hAnsi="Georgia"/>
          <w:color w:val="000666"/>
          <w:sz w:val="21"/>
          <w:szCs w:val="21"/>
        </w:rPr>
        <w:t>), пропана (С3H8), бутана (C</w:t>
      </w:r>
      <w:r>
        <w:rPr>
          <w:rFonts w:ascii="Georgia" w:hAnsi="Georgia"/>
          <w:color w:val="000666"/>
          <w:sz w:val="21"/>
          <w:szCs w:val="21"/>
          <w:vertAlign w:val="subscript"/>
        </w:rPr>
        <w:t>4</w:t>
      </w:r>
      <w:r>
        <w:rPr>
          <w:rFonts w:ascii="Georgia" w:hAnsi="Georgia"/>
          <w:color w:val="000666"/>
          <w:sz w:val="21"/>
          <w:szCs w:val="21"/>
        </w:rPr>
        <w:t>H</w:t>
      </w:r>
      <w:r>
        <w:rPr>
          <w:rFonts w:ascii="Georgia" w:hAnsi="Georgia"/>
          <w:color w:val="000666"/>
          <w:sz w:val="21"/>
          <w:szCs w:val="21"/>
          <w:vertAlign w:val="subscript"/>
        </w:rPr>
        <w:t>10</w:t>
      </w:r>
      <w:r>
        <w:rPr>
          <w:rFonts w:ascii="Georgia" w:hAnsi="Georgia"/>
          <w:color w:val="000666"/>
          <w:sz w:val="21"/>
          <w:szCs w:val="21"/>
        </w:rPr>
        <w:t>), пентана (C</w:t>
      </w:r>
      <w:r>
        <w:rPr>
          <w:rFonts w:ascii="Georgia" w:hAnsi="Georgia"/>
          <w:color w:val="000666"/>
          <w:sz w:val="21"/>
          <w:szCs w:val="21"/>
          <w:vertAlign w:val="subscript"/>
        </w:rPr>
        <w:t>5</w:t>
      </w:r>
      <w:r>
        <w:rPr>
          <w:rFonts w:ascii="Georgia" w:hAnsi="Georgia"/>
          <w:color w:val="000666"/>
          <w:sz w:val="21"/>
          <w:szCs w:val="21"/>
        </w:rPr>
        <w:t>H</w:t>
      </w:r>
      <w:r>
        <w:rPr>
          <w:rFonts w:ascii="Georgia" w:hAnsi="Georgia"/>
          <w:color w:val="000666"/>
          <w:sz w:val="21"/>
          <w:szCs w:val="21"/>
          <w:vertAlign w:val="subscript"/>
        </w:rPr>
        <w:t>12</w:t>
      </w:r>
      <w:r>
        <w:rPr>
          <w:rFonts w:ascii="Georgia" w:hAnsi="Georgia"/>
          <w:color w:val="000666"/>
          <w:sz w:val="21"/>
          <w:szCs w:val="21"/>
        </w:rPr>
        <w:t>) и др.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 w:rsidRPr="00A33B2E">
        <w:rPr>
          <w:rFonts w:ascii="Georgia" w:hAnsi="Georgia"/>
          <w:color w:val="000666"/>
          <w:sz w:val="21"/>
          <w:szCs w:val="21"/>
          <w:highlight w:val="yellow"/>
        </w:rPr>
        <w:t>Природные газы</w:t>
      </w:r>
      <w:r>
        <w:rPr>
          <w:rFonts w:ascii="Georgia" w:hAnsi="Georgia"/>
          <w:color w:val="000666"/>
          <w:sz w:val="21"/>
          <w:szCs w:val="21"/>
        </w:rPr>
        <w:t xml:space="preserve"> принято подразделять на газы из чисто газовых и газоконденсатных месторождений и нефтепромысловые (попутные газы).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В природных газах из чисто газовых или газоконденсатных месторождений отмечается повышенное содержание метана (от ≈ 85% до ≈ 99%) и, соответственно, небольшое содержание более тяжелых углеводородов (≈ от 3 до 7,5 %). Теплотворная способность газов находится на уровне –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35÷38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В нефтепромысловых (попутных) газах содержание метана понижено (от≈ 38% до ≈ 77%), а содержание более тяжелых углеводородов, обладающих большей теплотворной способностью, повышено (от ≈ 20% до ≈ 40%). Теплотворная способность попутных </w:t>
      </w:r>
      <w:proofErr w:type="gramStart"/>
      <w:r>
        <w:rPr>
          <w:rFonts w:ascii="Georgia" w:hAnsi="Georgia"/>
          <w:color w:val="000666"/>
          <w:sz w:val="21"/>
          <w:szCs w:val="21"/>
        </w:rPr>
        <w:t xml:space="preserve">газов,   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Q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38÷47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Искусственные газовые топлива получают, как правило, при технологической переработке твердых и жидких топлив. Разнообразие исходного сырья и технологических процессов определяет и широкий спектр составов и теплотворных способностей искусственных газообразных топлив. К искусственным газообразным топливам относятся: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1) газ подземной газификации углей – Q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4,0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;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2) доменный газ – Q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4,0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;   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3) генераторный газ – Q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5÷6,5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;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4) коксовый газ – Q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17,0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;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5) нефтяные газы (крекинг- газ) – Q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47,0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 и др.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lastRenderedPageBreak/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Особое место в газоснабжении коммунально-бытовых потребителей занимают «сжиженные газы» - углеводородные газы метанового ряда, которые при обычных температурах и относительно небольших давлениях переходят в жидкое состояние. Основными компонентами сжиженных газов являются пропан (С</w:t>
      </w:r>
      <w:r>
        <w:rPr>
          <w:rFonts w:ascii="Georgia" w:hAnsi="Georgia"/>
          <w:color w:val="000666"/>
          <w:sz w:val="21"/>
          <w:szCs w:val="21"/>
          <w:vertAlign w:val="subscript"/>
        </w:rPr>
        <w:t>3</w:t>
      </w:r>
      <w:r>
        <w:rPr>
          <w:rFonts w:ascii="Georgia" w:hAnsi="Georgia"/>
          <w:color w:val="000666"/>
          <w:sz w:val="21"/>
          <w:szCs w:val="21"/>
        </w:rPr>
        <w:t>H</w:t>
      </w:r>
      <w:r>
        <w:rPr>
          <w:rFonts w:ascii="Georgia" w:hAnsi="Georgia"/>
          <w:color w:val="000666"/>
          <w:sz w:val="21"/>
          <w:szCs w:val="21"/>
          <w:vertAlign w:val="subscript"/>
        </w:rPr>
        <w:t>8</w:t>
      </w:r>
      <w:r>
        <w:rPr>
          <w:rFonts w:ascii="Georgia" w:hAnsi="Georgia"/>
          <w:color w:val="000666"/>
          <w:sz w:val="21"/>
          <w:szCs w:val="21"/>
        </w:rPr>
        <w:t>) и бутана (C</w:t>
      </w:r>
      <w:r>
        <w:rPr>
          <w:rFonts w:ascii="Georgia" w:hAnsi="Georgia"/>
          <w:color w:val="000666"/>
          <w:sz w:val="21"/>
          <w:szCs w:val="21"/>
          <w:vertAlign w:val="subscript"/>
        </w:rPr>
        <w:t>4</w:t>
      </w:r>
      <w:r>
        <w:rPr>
          <w:rFonts w:ascii="Georgia" w:hAnsi="Georgia"/>
          <w:color w:val="000666"/>
          <w:sz w:val="21"/>
          <w:szCs w:val="21"/>
        </w:rPr>
        <w:t>H</w:t>
      </w:r>
      <w:r>
        <w:rPr>
          <w:rFonts w:ascii="Georgia" w:hAnsi="Georgia"/>
          <w:color w:val="000666"/>
          <w:sz w:val="21"/>
          <w:szCs w:val="21"/>
          <w:vertAlign w:val="subscript"/>
        </w:rPr>
        <w:t>10</w:t>
      </w:r>
      <w:r>
        <w:rPr>
          <w:rFonts w:ascii="Georgia" w:hAnsi="Georgia"/>
          <w:color w:val="000666"/>
          <w:sz w:val="21"/>
          <w:szCs w:val="21"/>
        </w:rPr>
        <w:t xml:space="preserve">). Для снабжения потребителей в летние месяцы используется сжиженный газ, состоящий из 80% бутана и 20% пропана (Q </w:t>
      </w:r>
      <w:proofErr w:type="spellStart"/>
      <w:r>
        <w:rPr>
          <w:rFonts w:ascii="Georgia" w:hAnsi="Georgia"/>
          <w:color w:val="000666"/>
          <w:sz w:val="21"/>
          <w:szCs w:val="21"/>
        </w:rPr>
        <w:t>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113,0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), а в зимние месяцы – сжиженный газ, состоящий из 35</w:t>
      </w:r>
      <w:proofErr w:type="gramStart"/>
      <w:r>
        <w:rPr>
          <w:rFonts w:ascii="Georgia" w:hAnsi="Georgia"/>
          <w:color w:val="000666"/>
          <w:sz w:val="21"/>
          <w:szCs w:val="21"/>
        </w:rPr>
        <w:t>%  бутана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и 65% пропана (</w:t>
      </w:r>
      <w:proofErr w:type="spellStart"/>
      <w:r>
        <w:rPr>
          <w:rFonts w:ascii="Georgia" w:hAnsi="Georgia"/>
          <w:color w:val="000666"/>
          <w:sz w:val="21"/>
          <w:szCs w:val="21"/>
        </w:rPr>
        <w:t>Qнс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≈ 101,0 мДж/м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).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Большинство природных и искусственных газов не имеют запаха, что затрудняется своевременное обнаружение места утечки газа и присутствия его в помещении. Это обстоятельство привело к необходимости адорации горючих газов специальными </w:t>
      </w:r>
      <w:proofErr w:type="gramStart"/>
      <w:r>
        <w:rPr>
          <w:rFonts w:ascii="Georgia" w:hAnsi="Georgia"/>
          <w:color w:val="000666"/>
          <w:sz w:val="21"/>
          <w:szCs w:val="21"/>
        </w:rPr>
        <w:t>веществами,  обладающими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резким запахом. Наиболее широкое применение для адорации горючих газов получил </w:t>
      </w:r>
      <w:proofErr w:type="spellStart"/>
      <w:r>
        <w:rPr>
          <w:rFonts w:ascii="Georgia" w:hAnsi="Georgia"/>
          <w:color w:val="000666"/>
          <w:sz w:val="21"/>
          <w:szCs w:val="21"/>
        </w:rPr>
        <w:t>этилмеркаптан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(C</w:t>
      </w:r>
      <w:r>
        <w:rPr>
          <w:rFonts w:ascii="Georgia" w:hAnsi="Georgia"/>
          <w:color w:val="000666"/>
          <w:sz w:val="21"/>
          <w:szCs w:val="21"/>
          <w:vertAlign w:val="subscript"/>
        </w:rPr>
        <w:t>2</w:t>
      </w:r>
      <w:r>
        <w:rPr>
          <w:rFonts w:ascii="Georgia" w:hAnsi="Georgia"/>
          <w:color w:val="000666"/>
          <w:sz w:val="21"/>
          <w:szCs w:val="21"/>
        </w:rPr>
        <w:t>H</w:t>
      </w:r>
      <w:r>
        <w:rPr>
          <w:rFonts w:ascii="Georgia" w:hAnsi="Georgia"/>
          <w:color w:val="000666"/>
          <w:sz w:val="21"/>
          <w:szCs w:val="21"/>
          <w:vertAlign w:val="subscript"/>
        </w:rPr>
        <w:t>5</w:t>
      </w:r>
      <w:r>
        <w:rPr>
          <w:rFonts w:ascii="Georgia" w:hAnsi="Georgia"/>
          <w:color w:val="000666"/>
          <w:sz w:val="21"/>
          <w:szCs w:val="21"/>
        </w:rPr>
        <w:t>SH), расход которого на 1000 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 газа составляет 19,1 см</w:t>
      </w:r>
      <w:r>
        <w:rPr>
          <w:rFonts w:ascii="Georgia" w:hAnsi="Georgia"/>
          <w:color w:val="000666"/>
          <w:sz w:val="21"/>
          <w:szCs w:val="21"/>
          <w:vertAlign w:val="superscript"/>
        </w:rPr>
        <w:t>3</w:t>
      </w:r>
      <w:r>
        <w:rPr>
          <w:rFonts w:ascii="Georgia" w:hAnsi="Georgia"/>
          <w:color w:val="000666"/>
          <w:sz w:val="21"/>
          <w:szCs w:val="21"/>
        </w:rPr>
        <w:t> (16 гр.).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 w:rsidRPr="00A33B2E">
        <w:rPr>
          <w:rFonts w:ascii="Georgia" w:hAnsi="Georgia"/>
          <w:color w:val="000666"/>
          <w:sz w:val="21"/>
          <w:szCs w:val="21"/>
          <w:highlight w:val="yellow"/>
        </w:rPr>
        <w:t>Газопроводы и газовые сети</w:t>
      </w:r>
      <w:r>
        <w:rPr>
          <w:rFonts w:ascii="Georgia" w:hAnsi="Georgia"/>
          <w:color w:val="000666"/>
          <w:sz w:val="21"/>
          <w:szCs w:val="21"/>
        </w:rPr>
        <w:t>. Транспортировка газа от источников (от газового промысла или газового завода) до городов  и населённых пунктов осуществляется по магистральным системам, включающим собственно газопровод с ответвлениями, компрессорные станции (КС), устанавливаемые через каждые  120÷150 км и обеспечивающие подачу газа под давлением до 5 мПа (50 кгс/см</w:t>
      </w:r>
      <w:r>
        <w:rPr>
          <w:rFonts w:ascii="Georgia" w:hAnsi="Georgia"/>
          <w:color w:val="000666"/>
          <w:sz w:val="21"/>
          <w:szCs w:val="21"/>
          <w:vertAlign w:val="superscript"/>
        </w:rPr>
        <w:t>2</w:t>
      </w:r>
      <w:r>
        <w:rPr>
          <w:rFonts w:ascii="Georgia" w:hAnsi="Georgia"/>
          <w:color w:val="000666"/>
          <w:sz w:val="21"/>
          <w:szCs w:val="21"/>
        </w:rPr>
        <w:t xml:space="preserve">) и газораспределительные станции (ГРС), являющиеся головными учреждениями при вводе газа в населённый пункт, в которых осуществляется фильтрование газа, снижение его давления до </w:t>
      </w:r>
      <w:proofErr w:type="spellStart"/>
      <w:r>
        <w:rPr>
          <w:rFonts w:ascii="Georgia" w:hAnsi="Georgia"/>
          <w:color w:val="000666"/>
          <w:sz w:val="21"/>
          <w:szCs w:val="21"/>
        </w:rPr>
        <w:t>Рг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≤1,2 мПа (12кгс/см</w:t>
      </w:r>
      <w:r>
        <w:rPr>
          <w:rFonts w:ascii="Georgia" w:hAnsi="Georgia"/>
          <w:color w:val="000666"/>
          <w:sz w:val="21"/>
          <w:szCs w:val="21"/>
          <w:vertAlign w:val="superscript"/>
        </w:rPr>
        <w:t>2</w:t>
      </w:r>
      <w:r>
        <w:rPr>
          <w:rFonts w:ascii="Georgia" w:hAnsi="Georgia"/>
          <w:color w:val="000666"/>
          <w:sz w:val="21"/>
          <w:szCs w:val="21"/>
        </w:rPr>
        <w:t xml:space="preserve">) и адорация. После ГРС газ поступает в газовые распределительные сети, которые по давлению подразделяются на сети высокого - </w:t>
      </w:r>
      <w:proofErr w:type="spellStart"/>
      <w:r>
        <w:rPr>
          <w:rFonts w:ascii="Georgia" w:hAnsi="Georgia"/>
          <w:color w:val="000666"/>
          <w:sz w:val="21"/>
          <w:szCs w:val="21"/>
        </w:rPr>
        <w:t>Рг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=1200÷300 кПа, сети среднего давления - </w:t>
      </w:r>
      <w:proofErr w:type="spellStart"/>
      <w:r>
        <w:rPr>
          <w:rFonts w:ascii="Georgia" w:hAnsi="Georgia"/>
          <w:color w:val="000666"/>
          <w:sz w:val="21"/>
          <w:szCs w:val="21"/>
        </w:rPr>
        <w:t>Рг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=300÷5 кПа и сети низкого давления -             </w:t>
      </w:r>
      <w:proofErr w:type="spellStart"/>
      <w:r>
        <w:rPr>
          <w:rFonts w:ascii="Georgia" w:hAnsi="Georgia"/>
          <w:color w:val="000666"/>
          <w:sz w:val="21"/>
          <w:szCs w:val="21"/>
        </w:rPr>
        <w:t>Рг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</w:t>
      </w:r>
      <w:proofErr w:type="gramStart"/>
      <w:r>
        <w:rPr>
          <w:rFonts w:ascii="Georgia" w:hAnsi="Georgia"/>
          <w:color w:val="000666"/>
          <w:sz w:val="21"/>
          <w:szCs w:val="21"/>
        </w:rPr>
        <w:t>&lt; 5</w:t>
      </w:r>
      <w:proofErr w:type="gramEnd"/>
      <w:r>
        <w:rPr>
          <w:rFonts w:ascii="Georgia" w:hAnsi="Georgia"/>
          <w:color w:val="000666"/>
          <w:sz w:val="21"/>
          <w:szCs w:val="21"/>
        </w:rPr>
        <w:t>кПа.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Крупные потребители газа (</w:t>
      </w:r>
      <w:proofErr w:type="spellStart"/>
      <w:r>
        <w:rPr>
          <w:rFonts w:ascii="Georgia" w:hAnsi="Georgia"/>
          <w:color w:val="000666"/>
          <w:sz w:val="21"/>
          <w:szCs w:val="21"/>
        </w:rPr>
        <w:t>пром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. предприятия, хлебозаводы, бани и т.п.) </w:t>
      </w:r>
      <w:proofErr w:type="gramStart"/>
      <w:r>
        <w:rPr>
          <w:rFonts w:ascii="Georgia" w:hAnsi="Georgia"/>
          <w:color w:val="000666"/>
          <w:sz w:val="21"/>
          <w:szCs w:val="21"/>
        </w:rPr>
        <w:t>присоединяются  к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газопроводам высокого давления (</w:t>
      </w:r>
      <w:proofErr w:type="spellStart"/>
      <w:r>
        <w:rPr>
          <w:rFonts w:ascii="Georgia" w:hAnsi="Georgia"/>
          <w:color w:val="000666"/>
          <w:sz w:val="21"/>
          <w:szCs w:val="21"/>
        </w:rPr>
        <w:t>Рг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до 600 кПа) и среднего давления. Жилые, общественные здания и мелкие коммунально-бытовые предприятия подключаются к газопроводам низкого давления.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По схеме питания потребителей газораспределительные сети подразделяются на: одноступенчатые, двухступенчатые трёхступенчатые и многоступенчатые.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В небольших населённых пунктах с малым расходом газа используется одноступенчатая схема с распределительным газопроводом низкого давления.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В средних городах применяется главным образом двухступенчатые схемы, а в крупных городах – трёхступенчатые (см. </w:t>
      </w:r>
      <w:proofErr w:type="gramStart"/>
      <w:r>
        <w:rPr>
          <w:rFonts w:ascii="Georgia" w:hAnsi="Georgia"/>
          <w:color w:val="000666"/>
          <w:sz w:val="21"/>
          <w:szCs w:val="21"/>
        </w:rPr>
        <w:t>рисунок )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или многоступенчатые схемы.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noProof/>
          <w:color w:val="000666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771900" cy="2581275"/>
            <wp:effectExtent l="0" t="0" r="0" b="9525"/>
            <wp:wrapSquare wrapText="bothSides"/>
            <wp:docPr id="1" name="Рисунок 1" descr="https://libr.aues.kz/facultet/eef/kaf_ot_os/19/umm/otos_1.files/image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eef/kaf_ot_os/19/umm/otos_1.files/image02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lastRenderedPageBreak/>
        <w:t>1 – магистральный газопровод; 2 – ГРС, 3 – газопровод высокого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давления; 4 – </w:t>
      </w:r>
      <w:proofErr w:type="spellStart"/>
      <w:r>
        <w:rPr>
          <w:rFonts w:ascii="Georgia" w:hAnsi="Georgia"/>
          <w:color w:val="000666"/>
          <w:sz w:val="21"/>
          <w:szCs w:val="21"/>
        </w:rPr>
        <w:t>газгольдерная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станция; 5 – ГРП среднего давления;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6 – газопровод среднего давления; 7 – ГРП низкого давления.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i/>
          <w:iCs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Рисунок - Трёхступенчатые газораспределительные сети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 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Газ по магистральному газопроводу 1 подводится к газораспределительной станции (ГРС) 2, от которой по газопроводам высокого давления 3 направляется к </w:t>
      </w:r>
      <w:proofErr w:type="spellStart"/>
      <w:r>
        <w:rPr>
          <w:rFonts w:ascii="Georgia" w:hAnsi="Georgia"/>
          <w:color w:val="000666"/>
          <w:sz w:val="21"/>
          <w:szCs w:val="21"/>
        </w:rPr>
        <w:t>газгольдерным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станциям 4, служащим для хранения запасов газа и “выравнивания” графика его потребления. Из </w:t>
      </w:r>
      <w:proofErr w:type="spellStart"/>
      <w:r>
        <w:rPr>
          <w:rFonts w:ascii="Georgia" w:hAnsi="Georgia"/>
          <w:color w:val="000666"/>
          <w:sz w:val="21"/>
          <w:szCs w:val="21"/>
        </w:rPr>
        <w:t>газгольдерных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станций, через газорегуляторные пункты (ГРП) среднего давления 5, газ поступает в закольцованные газопроводы среднего давления 6, из которых, после ГРП низкого давления 7, по газовым сетям низкого давления подается коммунально-бытовым потребителям.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 w:rsidRPr="00A33B2E">
        <w:rPr>
          <w:rFonts w:ascii="Georgia" w:hAnsi="Georgia"/>
          <w:color w:val="000666"/>
          <w:sz w:val="21"/>
          <w:szCs w:val="21"/>
          <w:highlight w:val="yellow"/>
        </w:rPr>
        <w:t>Газорегуляторные пункты (ГРП) и установки (ГРУ)</w:t>
      </w:r>
      <w:r>
        <w:rPr>
          <w:rFonts w:ascii="Georgia" w:hAnsi="Georgia"/>
          <w:color w:val="000666"/>
          <w:sz w:val="21"/>
          <w:szCs w:val="21"/>
        </w:rPr>
        <w:t xml:space="preserve"> служат для снижения давления газа и поддержания его на заданном уровне. ГРП обычно используются для питания газом распределительных сетей и размещаются в отдельно стоящих зданиях. ГРУ применяются </w:t>
      </w:r>
      <w:proofErr w:type="gramStart"/>
      <w:r>
        <w:rPr>
          <w:rFonts w:ascii="Georgia" w:hAnsi="Georgia"/>
          <w:color w:val="000666"/>
          <w:sz w:val="21"/>
          <w:szCs w:val="21"/>
        </w:rPr>
        <w:t>для  питания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отдельных потребителей и размещаются в помещениях предприятий, где расположены агрегаты, использующие газ.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Устройство и оборудование газовых сетей требует особого внимания из всех видов городских подземных коммуникаций, т.к. газ при повреждении газопроводов может просачиваться через грунт, проникать в подвалы </w:t>
      </w:r>
      <w:proofErr w:type="gramStart"/>
      <w:r>
        <w:rPr>
          <w:rFonts w:ascii="Georgia" w:hAnsi="Georgia"/>
          <w:color w:val="000666"/>
          <w:sz w:val="21"/>
          <w:szCs w:val="21"/>
        </w:rPr>
        <w:t>зданий,  скапливаться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там, создавая угрозу взрыва </w:t>
      </w:r>
      <w:proofErr w:type="spellStart"/>
      <w:r>
        <w:rPr>
          <w:rFonts w:ascii="Georgia" w:hAnsi="Georgia"/>
          <w:color w:val="000666"/>
          <w:sz w:val="21"/>
          <w:szCs w:val="21"/>
        </w:rPr>
        <w:t>газовоздушной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смеси. Надземная прокладка газопроводов высокого и среднего давления наиболее безопасна по местности. При выборе подземной прокладки газопроводов необходимо трассу прокладывать по возможности дальше от зданий и других коммуникаций.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>Газопроводы выполняют из стальных труб, соединяя их электросваркой. В местах установки газовых приборов, арматуры и другого оборудования применяют фланцевые и резьбовые соединения. Для защиты стальных труб от коррозии перед укладкой в землю их изолируют. Глубина заложения газопроводов принимается с учетом глубины промерзания грунтов, но не менее 0,8 м от поверхности земли. Газопроводы прокладывают с уклоном не менее 1,5 мм/</w:t>
      </w:r>
      <w:proofErr w:type="spellStart"/>
      <w:r>
        <w:rPr>
          <w:rFonts w:ascii="Georgia" w:hAnsi="Georgia"/>
          <w:color w:val="000666"/>
          <w:sz w:val="21"/>
          <w:szCs w:val="21"/>
        </w:rPr>
        <w:t>пог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. м, что обеспечивает отвод конденсата в специальные </w:t>
      </w:r>
      <w:proofErr w:type="spellStart"/>
      <w:r>
        <w:rPr>
          <w:rFonts w:ascii="Georgia" w:hAnsi="Georgia"/>
          <w:color w:val="000666"/>
          <w:sz w:val="21"/>
          <w:szCs w:val="21"/>
        </w:rPr>
        <w:t>конденсатосборники</w:t>
      </w:r>
      <w:proofErr w:type="spellEnd"/>
      <w:r>
        <w:rPr>
          <w:rFonts w:ascii="Georgia" w:hAnsi="Georgia"/>
          <w:color w:val="000666"/>
          <w:sz w:val="21"/>
          <w:szCs w:val="21"/>
        </w:rPr>
        <w:t xml:space="preserve"> и предотвращает образование водяных пробок.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 w:rsidRPr="00A33B2E">
        <w:rPr>
          <w:rFonts w:ascii="Georgia" w:hAnsi="Georgia"/>
          <w:color w:val="000666"/>
          <w:sz w:val="21"/>
          <w:szCs w:val="21"/>
          <w:highlight w:val="green"/>
        </w:rPr>
        <w:t>Устройство внутренних газопроводов</w:t>
      </w:r>
      <w:r>
        <w:rPr>
          <w:rFonts w:ascii="Georgia" w:hAnsi="Georgia"/>
          <w:color w:val="000666"/>
          <w:sz w:val="21"/>
          <w:szCs w:val="21"/>
        </w:rPr>
        <w:t>. Вводы газопроводов в жилые здания устраивают в лестничных клетках, кухнях или коридорах. На вводе газопровода в здание устанавливают запорную арматуру с уклоном в сторону распределительного газопровода.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Газ подается в квартиры по стоякам, которые прокладываются в кухнях, на лестничных клетках или в коридорах. Нельзя прокладывать стояки в жилых помещениях, ванных комнатах и санитарных узлах. На стояках </w:t>
      </w:r>
      <w:proofErr w:type="gramStart"/>
      <w:r>
        <w:rPr>
          <w:rFonts w:ascii="Georgia" w:hAnsi="Georgia"/>
          <w:color w:val="000666"/>
          <w:sz w:val="21"/>
          <w:szCs w:val="21"/>
        </w:rPr>
        <w:t>и  разводящих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газопроводах устанавливать пробки запрещается.</w:t>
      </w:r>
    </w:p>
    <w:p w:rsidR="00A33B2E" w:rsidRDefault="00A33B2E" w:rsidP="00A33B2E">
      <w:pPr>
        <w:pStyle w:val="a3"/>
        <w:ind w:right="150"/>
        <w:jc w:val="both"/>
        <w:rPr>
          <w:rFonts w:ascii="Georgia" w:hAnsi="Georgia"/>
          <w:color w:val="000666"/>
          <w:sz w:val="21"/>
          <w:szCs w:val="21"/>
        </w:rPr>
      </w:pPr>
      <w:r>
        <w:rPr>
          <w:rFonts w:ascii="Georgia" w:hAnsi="Georgia"/>
          <w:color w:val="000666"/>
          <w:sz w:val="21"/>
          <w:szCs w:val="21"/>
        </w:rPr>
        <w:t xml:space="preserve">Газопроводы внутри зданий выполняются из стальных труб, соединяемых на сварке. Резьбовые и фланцевые соединения выполняются только в местах установки арматуры и газовых приборов. Перед каждым газовым прибором устанавливается пробковый кран. Газопроводы, пересекающие фундаменты перекрытия, лестничные площадки, стены и перегородки, следует заключать в стальные футляры. В пределах футляра газопровод не должен иметь стыковых соединений, а </w:t>
      </w:r>
      <w:proofErr w:type="gramStart"/>
      <w:r>
        <w:rPr>
          <w:rFonts w:ascii="Georgia" w:hAnsi="Georgia"/>
          <w:color w:val="000666"/>
          <w:sz w:val="21"/>
          <w:szCs w:val="21"/>
        </w:rPr>
        <w:t>пространство  между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ним и футляром должно быть заделано просмоленной паклей и залито битумом. Конец футляра выводят под </w:t>
      </w:r>
      <w:proofErr w:type="gramStart"/>
      <w:r>
        <w:rPr>
          <w:rFonts w:ascii="Georgia" w:hAnsi="Georgia"/>
          <w:color w:val="000666"/>
          <w:sz w:val="21"/>
          <w:szCs w:val="21"/>
        </w:rPr>
        <w:t>полом  или</w:t>
      </w:r>
      <w:proofErr w:type="gramEnd"/>
      <w:r>
        <w:rPr>
          <w:rFonts w:ascii="Georgia" w:hAnsi="Georgia"/>
          <w:color w:val="000666"/>
          <w:sz w:val="21"/>
          <w:szCs w:val="21"/>
        </w:rPr>
        <w:t xml:space="preserve"> за пределы стены на 5 см.</w:t>
      </w:r>
      <w:bookmarkStart w:id="0" w:name="_GoBack"/>
      <w:bookmarkEnd w:id="0"/>
    </w:p>
    <w:sectPr w:rsidR="00A33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8A9"/>
    <w:rsid w:val="008508A9"/>
    <w:rsid w:val="00A33B2E"/>
    <w:rsid w:val="00C32848"/>
    <w:rsid w:val="00C62E43"/>
    <w:rsid w:val="00E5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9F2A0"/>
  <w15:chartTrackingRefBased/>
  <w15:docId w15:val="{FA8008E7-7DA0-47DE-99D5-0DBBA348A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3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5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1267</Words>
  <Characters>7224</Characters>
  <Application>Microsoft Office Word</Application>
  <DocSecurity>0</DocSecurity>
  <Lines>60</Lines>
  <Paragraphs>16</Paragraphs>
  <ScaleCrop>false</ScaleCrop>
  <Company/>
  <LinksUpToDate>false</LinksUpToDate>
  <CharactersWithSpaces>8475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2022-10-03T02:44:00Z</dcterms:created>
  <dcterms:modified xsi:type="dcterms:W3CDTF">2022-10-03T02:46:00Z</dcterms:modified>
</cp:coreProperties>
</file>